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SUMMARY OF TERMS – REVOLVING LINE OF CREDIT</w:t>
      </w:r>
    </w:p>
    <w:p>
      <w:pPr>
        <w:jc w:val="center"/>
      </w:pPr>
      <w:r>
        <w:rPr>
          <w:b w:val="0"/>
          <w:sz w:val="20"/>
        </w:rPr>
        <w:t>A1 Bank &amp; Trust / A1 Manufacturing, LLC · September 29, 2026 · For discussion only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1. Lender</w:t>
            </w:r>
          </w:p>
        </w:tc>
        <w:tc>
          <w:tcPr>
            <w:tcW w:type="dxa" w:w="4320"/>
          </w:tcPr>
          <w:p>
            <w:r>
              <w:t>A1 Bank &amp; Trust.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2. Borrower</w:t>
            </w:r>
          </w:p>
        </w:tc>
        <w:tc>
          <w:tcPr>
            <w:tcW w:type="dxa" w:w="4320"/>
          </w:tcPr>
          <w:p>
            <w:r>
              <w:t>A1 Manufacturing, LLC.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3. Facility</w:t>
            </w:r>
          </w:p>
        </w:tc>
        <w:tc>
          <w:tcPr>
            <w:tcW w:type="dxa" w:w="4320"/>
          </w:tcPr>
          <w:p>
            <w:r>
              <w:t>$5,000,000 revolving line of credit for working capital.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4. Maturity</w:t>
            </w:r>
          </w:p>
        </w:tc>
        <w:tc>
          <w:tcPr>
            <w:tcW w:type="dxa" w:w="4320"/>
          </w:tcPr>
          <w:p>
            <w:r>
              <w:t>Two years from closing.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5. Interest</w:t>
            </w:r>
          </w:p>
        </w:tc>
        <w:tc>
          <w:tcPr>
            <w:tcW w:type="dxa" w:w="4320"/>
          </w:tcPr>
          <w:p>
            <w:r>
              <w:t>One-month Term SOFR plus 2.75% per year, with a 0.50% floor on Term SOFR.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6. Fees</w:t>
            </w:r>
          </w:p>
        </w:tc>
        <w:tc>
          <w:tcPr>
            <w:tcW w:type="dxa" w:w="4320"/>
          </w:tcPr>
          <w:p>
            <w:r>
              <w:t>Unused line fee of 0.25% per year, paid quarterly in arrears.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7. Collateral</w:t>
            </w:r>
          </w:p>
        </w:tc>
        <w:tc>
          <w:tcPr>
            <w:tcW w:type="dxa" w:w="4320"/>
          </w:tcPr>
          <w:p>
            <w:r>
              <w:t>First-priority security interest in Borrower’s accounts receivable and inventory.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8. Guaranty</w:t>
            </w:r>
          </w:p>
        </w:tc>
        <w:tc>
          <w:tcPr>
            <w:tcW w:type="dxa" w:w="4320"/>
          </w:tcPr>
          <w:p>
            <w:r>
              <w:t>Unlimited guaranty from A1 Holdings, Inc. No personal guaranties.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9. Financial covenants</w:t>
            </w:r>
          </w:p>
        </w:tc>
        <w:tc>
          <w:tcPr>
            <w:tcW w:type="dxa" w:w="4320"/>
          </w:tcPr>
          <w:p>
            <w:r>
              <w:t>Debt service coverage ratio of at least 1.20 to 1.00, tested quarterly on a trailing twelve-month basis. Total funded debt to EBITDA of no more than 3.00 to 1.00.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10. Reporting</w:t>
            </w:r>
          </w:p>
        </w:tc>
        <w:tc>
          <w:tcPr>
            <w:tcW w:type="dxa" w:w="4320"/>
          </w:tcPr>
          <w:p>
            <w:r>
              <w:t>Annual CPA-reviewed financial statements within 120 days after fiscal year-end; quarterly internally prepared statements and a compliance certificate within 45 days after quarter-end.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